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2C" w:rsidRDefault="007D582C" w:rsidP="007D582C">
      <w:bookmarkStart w:id="0" w:name="_GoBack"/>
      <w:r>
        <w:t xml:space="preserve">Всеволожская городская прокуратура разъясняет </w:t>
      </w:r>
    </w:p>
    <w:bookmarkEnd w:id="0"/>
    <w:p w:rsidR="007D582C" w:rsidRDefault="007D582C" w:rsidP="007D582C">
      <w:r>
        <w:t xml:space="preserve"> </w:t>
      </w:r>
    </w:p>
    <w:p w:rsidR="007D582C" w:rsidRDefault="007D582C" w:rsidP="007D582C">
      <w:r>
        <w:t>Постановлением от 21 января 2025 года N 2-П Конституционный Суд дал оценку конституционности подпункта 5 пункта 3 статьи 39, пункта 1 статьи 41, пунктов 1 и 2 статьи 248, пунктов 1 и 2 статьи 249, а также пункта 1 статьи 346.15 Налогового кодекса Российской Федерации.</w:t>
      </w:r>
    </w:p>
    <w:p w:rsidR="007D582C" w:rsidRDefault="007D582C" w:rsidP="007D582C"/>
    <w:p w:rsidR="007D582C" w:rsidRDefault="007D582C" w:rsidP="007D582C">
      <w:r>
        <w:t xml:space="preserve">Указанные законоположения являлись предметом рассмотрения постольку, поскольку на их основании решается вопрос о возникновении у общества с ограниченной ответственностью, применяющего упрощенную систему налогообложения, налогооблагаемого дохода при передаче (отчуждении) им имущества в счет выплаты действительной стоимости </w:t>
      </w:r>
      <w:proofErr w:type="gramStart"/>
      <w:r>
        <w:t>доли</w:t>
      </w:r>
      <w:proofErr w:type="gramEnd"/>
      <w:r>
        <w:t xml:space="preserve"> в уставном капитале вышедшему из этого общества участнику, а также о порядке определения размера соответствующего дохода.</w:t>
      </w:r>
    </w:p>
    <w:p w:rsidR="007D582C" w:rsidRDefault="007D582C" w:rsidP="007D582C"/>
    <w:p w:rsidR="007D582C" w:rsidRDefault="007D582C" w:rsidP="007D582C">
      <w:r>
        <w:t>Оспоренные законоположения были признаны не соответствующими Конституции Российской Федерации в той мере, в какой они в их взаимосвязи в системе действующего правового регулирования в силу своей неопределенности, порождающей различное истолкование в правоприменительной практике, допускают произвольное разрешение указанного вопроса и, соответственно, произвольное определение размера налогооблагаемого дохода в этом случае.</w:t>
      </w:r>
    </w:p>
    <w:p w:rsidR="007D582C" w:rsidRDefault="007D582C" w:rsidP="007D582C"/>
    <w:p w:rsidR="006050BF" w:rsidRDefault="007D582C" w:rsidP="007D582C">
      <w:r>
        <w:t xml:space="preserve">Впредь до внесения надлежащих законодательных изменений передача (отчуждение) обществом с ограниченной ответственностью, применяющим упрощенную систему налогообложения, имущества в счет выплаты действительной стоимости </w:t>
      </w:r>
      <w:proofErr w:type="gramStart"/>
      <w:r>
        <w:t>доли</w:t>
      </w:r>
      <w:proofErr w:type="gramEnd"/>
      <w:r>
        <w:t xml:space="preserve"> вышедшему из него участнику предполагает необходимость обложения налогом экономической выгоды такого налогоплательщика в виде действительной (рыночной) стоимости доли, определяемой в установленном порядке на момент после перехода ее к налогоплательщику. При этом в случае, если срок исполнения указанной налоговой обязанности такого общества наступил до вступления в силу данного Постановления, к нему в связи с ее неисполнением не применяются меры налоговой ответственности. Указанные особенности исполнения налоговой обязанности в связи с передачей (отчуждением) таким обществом имущества в счет выплаты действительной стоимости </w:t>
      </w:r>
      <w:proofErr w:type="gramStart"/>
      <w:r>
        <w:t>доли</w:t>
      </w:r>
      <w:proofErr w:type="gramEnd"/>
      <w:r>
        <w:t xml:space="preserve"> вышедшему из него участнику не являются основанием для пересмотра размера налоговых обязательств неограниченного круга налогоплательщиков, исполнивших с учетом положений соответствующего правового регулирования обязанность по уплате налогов за предшествовавшие вынесению данного Постановления периоды и не оспоривших соответствующую обязанность в установленном законом порядке, а также для пересмотра судебных актов по делам, производство по которым было завершено в суде максимально высокой для данной категории дел инстанции.</w:t>
      </w:r>
    </w:p>
    <w:sectPr w:rsidR="0060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2C"/>
    <w:rsid w:val="006050BF"/>
    <w:rsid w:val="007D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</dc:creator>
  <cp:lastModifiedBy>SAG</cp:lastModifiedBy>
  <cp:revision>1</cp:revision>
  <dcterms:created xsi:type="dcterms:W3CDTF">2025-05-06T16:01:00Z</dcterms:created>
  <dcterms:modified xsi:type="dcterms:W3CDTF">2025-05-06T16:01:00Z</dcterms:modified>
</cp:coreProperties>
</file>